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0C1D" w:rsidRPr="006A0C1D" w:rsidRDefault="006A0C1D" w:rsidP="006A0C1D">
      <w:pPr>
        <w:spacing w:line="276" w:lineRule="auto"/>
        <w:jc w:val="center"/>
        <w:rPr>
          <w:sz w:val="24"/>
          <w:szCs w:val="24"/>
        </w:rPr>
      </w:pPr>
      <w:r w:rsidRPr="006A0C1D">
        <w:rPr>
          <w:sz w:val="34"/>
          <w:szCs w:val="24"/>
        </w:rPr>
        <w:t>Information zur Förderung nach dem EMFF</w:t>
      </w:r>
      <w:r>
        <w:rPr>
          <w:sz w:val="34"/>
          <w:szCs w:val="24"/>
        </w:rPr>
        <w:t xml:space="preserve"> </w:t>
      </w:r>
      <w:r w:rsidRPr="006A0C1D">
        <w:rPr>
          <w:sz w:val="24"/>
          <w:szCs w:val="24"/>
        </w:rPr>
        <w:t>vom Bayerischen Staatsministerium für Ernährung, Landwirtschaft und Forsten</w:t>
      </w:r>
      <w:r>
        <w:rPr>
          <w:sz w:val="24"/>
          <w:szCs w:val="24"/>
        </w:rPr>
        <w:t>, Referat L4, Stand: 02.10.2019</w:t>
      </w:r>
      <w:bookmarkStart w:id="0" w:name="_GoBack"/>
      <w:bookmarkEnd w:id="0"/>
    </w:p>
    <w:p w:rsidR="006A0C1D" w:rsidRPr="006A0C1D" w:rsidRDefault="006A0C1D" w:rsidP="006A0C1D">
      <w:pPr>
        <w:spacing w:line="276" w:lineRule="auto"/>
        <w:jc w:val="center"/>
        <w:rPr>
          <w:sz w:val="34"/>
          <w:szCs w:val="24"/>
        </w:rPr>
      </w:pPr>
    </w:p>
    <w:p w:rsidR="006A0C1D" w:rsidRDefault="006A0C1D" w:rsidP="006A0C1D">
      <w:pPr>
        <w:spacing w:line="276" w:lineRule="auto"/>
        <w:rPr>
          <w:sz w:val="24"/>
          <w:szCs w:val="24"/>
        </w:rPr>
      </w:pPr>
      <w:r>
        <w:rPr>
          <w:sz w:val="24"/>
          <w:szCs w:val="24"/>
        </w:rPr>
        <w:t xml:space="preserve">Aufgrund der großen Nachfrage im Bereich </w:t>
      </w:r>
      <w:r>
        <w:rPr>
          <w:b/>
          <w:bCs/>
          <w:sz w:val="24"/>
          <w:szCs w:val="24"/>
        </w:rPr>
        <w:t>Aquakultur</w:t>
      </w:r>
      <w:r>
        <w:rPr>
          <w:sz w:val="24"/>
          <w:szCs w:val="24"/>
        </w:rPr>
        <w:t xml:space="preserve"> muss bei Anträgen zur Förderung aus dem EMFF in diesem Bereich </w:t>
      </w:r>
      <w:r>
        <w:rPr>
          <w:b/>
          <w:bCs/>
          <w:sz w:val="24"/>
          <w:szCs w:val="24"/>
        </w:rPr>
        <w:t>ab dem 15. Oktober 2019</w:t>
      </w:r>
      <w:r>
        <w:rPr>
          <w:sz w:val="24"/>
          <w:szCs w:val="24"/>
        </w:rPr>
        <w:t xml:space="preserve"> die </w:t>
      </w:r>
      <w:r>
        <w:rPr>
          <w:b/>
          <w:bCs/>
          <w:sz w:val="24"/>
          <w:szCs w:val="24"/>
        </w:rPr>
        <w:t>zweite Stufe</w:t>
      </w:r>
      <w:r>
        <w:rPr>
          <w:sz w:val="24"/>
          <w:szCs w:val="24"/>
        </w:rPr>
        <w:t xml:space="preserve"> des </w:t>
      </w:r>
      <w:r>
        <w:rPr>
          <w:b/>
          <w:bCs/>
          <w:sz w:val="24"/>
          <w:szCs w:val="24"/>
        </w:rPr>
        <w:t>Auswahlverfahrens</w:t>
      </w:r>
      <w:r>
        <w:rPr>
          <w:sz w:val="24"/>
          <w:szCs w:val="24"/>
        </w:rPr>
        <w:t xml:space="preserve"> eingeführt werden. Dies betrifft alle Anträge nach </w:t>
      </w:r>
      <w:r>
        <w:rPr>
          <w:b/>
          <w:bCs/>
          <w:sz w:val="24"/>
          <w:szCs w:val="24"/>
        </w:rPr>
        <w:t>Nr. 2.1 der EMFF-Richtlinie</w:t>
      </w:r>
      <w:r>
        <w:rPr>
          <w:sz w:val="24"/>
          <w:szCs w:val="24"/>
        </w:rPr>
        <w:t xml:space="preserve">. Die Nummern 2.2 bis 2.5 der EMFF-Richtlinie sind davon </w:t>
      </w:r>
      <w:r>
        <w:rPr>
          <w:b/>
          <w:bCs/>
          <w:sz w:val="24"/>
          <w:szCs w:val="24"/>
        </w:rPr>
        <w:t>nicht</w:t>
      </w:r>
      <w:r>
        <w:rPr>
          <w:sz w:val="24"/>
          <w:szCs w:val="24"/>
        </w:rPr>
        <w:t xml:space="preserve"> betroffen. </w:t>
      </w:r>
    </w:p>
    <w:p w:rsidR="006A0C1D" w:rsidRDefault="006A0C1D" w:rsidP="006A0C1D">
      <w:pPr>
        <w:spacing w:line="276" w:lineRule="auto"/>
        <w:rPr>
          <w:sz w:val="24"/>
          <w:szCs w:val="24"/>
        </w:rPr>
      </w:pPr>
      <w:r>
        <w:rPr>
          <w:sz w:val="24"/>
          <w:szCs w:val="24"/>
        </w:rPr>
        <w:br/>
        <w:t xml:space="preserve">Alle Förderanträge im Bereich </w:t>
      </w:r>
      <w:r>
        <w:rPr>
          <w:b/>
          <w:bCs/>
          <w:sz w:val="24"/>
          <w:szCs w:val="24"/>
        </w:rPr>
        <w:t>Aquakultur (inkl. Direktvermarktung)</w:t>
      </w:r>
      <w:r>
        <w:rPr>
          <w:sz w:val="24"/>
          <w:szCs w:val="24"/>
        </w:rPr>
        <w:t>, die am 15. Oktober 2019 oder später bei der Bewilligungsbehörde eingehen, durchlaufen dann folgendes Verfahren:</w:t>
      </w:r>
    </w:p>
    <w:p w:rsidR="006A0C1D" w:rsidRDefault="006A0C1D" w:rsidP="006A0C1D">
      <w:pPr>
        <w:spacing w:line="276" w:lineRule="auto"/>
        <w:rPr>
          <w:sz w:val="24"/>
          <w:szCs w:val="24"/>
        </w:rPr>
      </w:pPr>
      <w:r>
        <w:rPr>
          <w:sz w:val="24"/>
          <w:szCs w:val="24"/>
        </w:rPr>
        <w:t xml:space="preserve">Die </w:t>
      </w:r>
      <w:r>
        <w:rPr>
          <w:b/>
          <w:bCs/>
          <w:sz w:val="24"/>
          <w:szCs w:val="24"/>
        </w:rPr>
        <w:t>erste Auswahlrunde</w:t>
      </w:r>
      <w:r>
        <w:rPr>
          <w:sz w:val="24"/>
          <w:szCs w:val="24"/>
        </w:rPr>
        <w:t xml:space="preserve"> läuft bis </w:t>
      </w:r>
      <w:r>
        <w:rPr>
          <w:b/>
          <w:bCs/>
          <w:sz w:val="24"/>
          <w:szCs w:val="24"/>
        </w:rPr>
        <w:t>15. März 2020</w:t>
      </w:r>
      <w:r>
        <w:rPr>
          <w:sz w:val="24"/>
          <w:szCs w:val="24"/>
        </w:rPr>
        <w:t xml:space="preserve"> (erster Antragsendtermin). Alle Anträge im Bereich Aquakultur, die zwischen dem 15. Oktober 2019 und dem 15. März 2020 </w:t>
      </w:r>
      <w:r>
        <w:rPr>
          <w:b/>
          <w:bCs/>
          <w:sz w:val="24"/>
          <w:szCs w:val="24"/>
        </w:rPr>
        <w:t>vollständig</w:t>
      </w:r>
      <w:r>
        <w:rPr>
          <w:sz w:val="24"/>
          <w:szCs w:val="24"/>
        </w:rPr>
        <w:t xml:space="preserve"> bei der Bewilligungsbehörde eingegangen und grundsätzlich förderfähig sind, werden anhand der spezifischen Auswahlkriterien </w:t>
      </w:r>
      <w:r>
        <w:rPr>
          <w:b/>
          <w:bCs/>
          <w:sz w:val="24"/>
          <w:szCs w:val="24"/>
        </w:rPr>
        <w:t>mit Punkten bewertet</w:t>
      </w:r>
      <w:r>
        <w:rPr>
          <w:sz w:val="24"/>
          <w:szCs w:val="24"/>
        </w:rPr>
        <w:t xml:space="preserve">. Dann erfolgt </w:t>
      </w:r>
      <w:r>
        <w:rPr>
          <w:b/>
          <w:bCs/>
          <w:sz w:val="24"/>
          <w:szCs w:val="24"/>
        </w:rPr>
        <w:t>eine Reihung der Anträge</w:t>
      </w:r>
      <w:r>
        <w:rPr>
          <w:sz w:val="24"/>
          <w:szCs w:val="24"/>
        </w:rPr>
        <w:t xml:space="preserve"> nach erreichter Punktzahl. Anträge mit hoher Punktzahl werden Anträgen mit geringerer Punktzahl vorgezogen, so lange bis das für diese Auswahlrunde verfügbare Budget an EU-Mitteln (voraussichtlich 500.000 Euro) ausgeschöpft ist.</w:t>
      </w:r>
    </w:p>
    <w:p w:rsidR="006A0C1D" w:rsidRDefault="006A0C1D" w:rsidP="006A0C1D">
      <w:pPr>
        <w:spacing w:line="276" w:lineRule="auto"/>
        <w:rPr>
          <w:sz w:val="24"/>
          <w:szCs w:val="24"/>
        </w:rPr>
      </w:pPr>
      <w:r>
        <w:rPr>
          <w:sz w:val="24"/>
          <w:szCs w:val="24"/>
        </w:rPr>
        <w:t>Unvollständig eingereichte Anträge sowie Anträge, die aufgrund einer Überschreitung des Budgets nicht ausgewählt werden können, müssen abgelehnt werden. Sie können zum nächsten Antragsendtermin erneut eingereicht werden, sofern mit dem Vorhaben nicht begonnen wird. Die zweite Auswahlrunde wird voraussichtlich bis zum 15. September 2020 laufen (zweiter Antragsendtermin).</w:t>
      </w:r>
    </w:p>
    <w:p w:rsidR="006A0C1D" w:rsidRDefault="006A0C1D" w:rsidP="006A0C1D">
      <w:pPr>
        <w:spacing w:line="276" w:lineRule="auto"/>
        <w:rPr>
          <w:sz w:val="24"/>
          <w:szCs w:val="24"/>
        </w:rPr>
      </w:pPr>
    </w:p>
    <w:p w:rsidR="006A0C1D" w:rsidRDefault="006A0C1D" w:rsidP="006A0C1D">
      <w:pPr>
        <w:spacing w:line="276" w:lineRule="auto"/>
        <w:rPr>
          <w:sz w:val="24"/>
          <w:szCs w:val="24"/>
        </w:rPr>
      </w:pPr>
      <w:r>
        <w:rPr>
          <w:sz w:val="24"/>
          <w:szCs w:val="24"/>
        </w:rPr>
        <w:t xml:space="preserve">Das Antragsformular bleibt unverändert. Es sind allerdings ein zusätzliches Anlagenverzeichnis und im Einzelfall zusätzliche Nachweise einzureichen. Alle Informationen und Unterlagen dazu sind im </w:t>
      </w:r>
      <w:r>
        <w:rPr>
          <w:b/>
          <w:bCs/>
          <w:sz w:val="24"/>
          <w:szCs w:val="24"/>
        </w:rPr>
        <w:t>Förderwegweiser</w:t>
      </w:r>
      <w:r>
        <w:rPr>
          <w:sz w:val="24"/>
          <w:szCs w:val="24"/>
        </w:rPr>
        <w:t xml:space="preserve"> des Ministeriums zu finden: </w:t>
      </w:r>
      <w:hyperlink r:id="rId5" w:history="1">
        <w:r>
          <w:rPr>
            <w:rStyle w:val="Hyperlink"/>
            <w:sz w:val="24"/>
            <w:szCs w:val="24"/>
          </w:rPr>
          <w:t>www.stmelf.bayern.de/emff</w:t>
        </w:r>
      </w:hyperlink>
      <w:r>
        <w:rPr>
          <w:sz w:val="24"/>
          <w:szCs w:val="24"/>
        </w:rPr>
        <w:t xml:space="preserve"> </w:t>
      </w:r>
    </w:p>
    <w:p w:rsidR="006A0C1D" w:rsidRDefault="006A0C1D" w:rsidP="006A0C1D">
      <w:pPr>
        <w:spacing w:line="276" w:lineRule="auto"/>
        <w:rPr>
          <w:sz w:val="24"/>
          <w:szCs w:val="24"/>
        </w:rPr>
      </w:pPr>
      <w:r>
        <w:rPr>
          <w:sz w:val="24"/>
          <w:szCs w:val="24"/>
        </w:rPr>
        <w:t>Bitte beachten Sie besonders das „</w:t>
      </w:r>
      <w:r>
        <w:rPr>
          <w:b/>
          <w:bCs/>
          <w:sz w:val="24"/>
          <w:szCs w:val="24"/>
        </w:rPr>
        <w:t>Merkblatt zum Auswahlverfahren für den Bereich Aquakultur</w:t>
      </w:r>
      <w:r>
        <w:rPr>
          <w:sz w:val="24"/>
          <w:szCs w:val="24"/>
        </w:rPr>
        <w:t>“ und das „</w:t>
      </w:r>
      <w:r>
        <w:rPr>
          <w:b/>
          <w:bCs/>
          <w:sz w:val="24"/>
          <w:szCs w:val="24"/>
        </w:rPr>
        <w:t>Anlagenverzeichnis</w:t>
      </w:r>
      <w:r>
        <w:rPr>
          <w:sz w:val="24"/>
          <w:szCs w:val="24"/>
        </w:rPr>
        <w:t xml:space="preserve"> </w:t>
      </w:r>
      <w:r>
        <w:rPr>
          <w:b/>
          <w:bCs/>
          <w:sz w:val="24"/>
          <w:szCs w:val="24"/>
        </w:rPr>
        <w:t>zum EMFF-Förderantrag Aquakultur</w:t>
      </w:r>
      <w:r>
        <w:rPr>
          <w:sz w:val="24"/>
          <w:szCs w:val="24"/>
        </w:rPr>
        <w:t>“.</w:t>
      </w:r>
    </w:p>
    <w:p w:rsidR="006A0C1D" w:rsidRDefault="006A0C1D" w:rsidP="006A0C1D">
      <w:pPr>
        <w:spacing w:line="276" w:lineRule="auto"/>
        <w:rPr>
          <w:sz w:val="24"/>
          <w:szCs w:val="24"/>
        </w:rPr>
      </w:pPr>
    </w:p>
    <w:p w:rsidR="006A0C1D" w:rsidRDefault="006A0C1D" w:rsidP="006A0C1D">
      <w:pPr>
        <w:spacing w:line="276" w:lineRule="auto"/>
        <w:rPr>
          <w:sz w:val="24"/>
          <w:szCs w:val="24"/>
        </w:rPr>
      </w:pPr>
      <w:r>
        <w:rPr>
          <w:sz w:val="24"/>
          <w:szCs w:val="24"/>
        </w:rPr>
        <w:t>Wir weisen außerdem darauf hin, dass Antragsteller, deren Vorhaben bereits bewilligt wurden, ihre Verwendungsnachweise so bald wie möglich vorlegen sollen, damit keine EU-Mittel verloren gehen. Falls ein bewilligtes Vorhaben nicht durchgeführt wird, ist dies der Bewilligungsbehörde unbedingt mitzuteilen, damit die Zuwendungen für andere Projekte zur Verfügung stehen.</w:t>
      </w:r>
    </w:p>
    <w:p w:rsidR="006A0C1D" w:rsidRDefault="006A0C1D" w:rsidP="006A0C1D">
      <w:pPr>
        <w:spacing w:line="276" w:lineRule="auto"/>
        <w:rPr>
          <w:sz w:val="24"/>
          <w:szCs w:val="24"/>
        </w:rPr>
      </w:pPr>
    </w:p>
    <w:p w:rsidR="006A0C1D" w:rsidRDefault="006A0C1D" w:rsidP="006A0C1D">
      <w:pPr>
        <w:spacing w:line="276" w:lineRule="auto"/>
        <w:rPr>
          <w:sz w:val="24"/>
          <w:szCs w:val="24"/>
        </w:rPr>
      </w:pPr>
      <w:r>
        <w:rPr>
          <w:sz w:val="24"/>
          <w:szCs w:val="24"/>
        </w:rPr>
        <w:t xml:space="preserve">Bitte beachten Sie ferner, dass sich seit dem </w:t>
      </w:r>
      <w:r>
        <w:rPr>
          <w:b/>
          <w:bCs/>
          <w:sz w:val="24"/>
          <w:szCs w:val="24"/>
        </w:rPr>
        <w:t>1. Oktober 2019</w:t>
      </w:r>
      <w:r>
        <w:rPr>
          <w:sz w:val="24"/>
          <w:szCs w:val="24"/>
        </w:rPr>
        <w:t xml:space="preserve"> die </w:t>
      </w:r>
      <w:r>
        <w:rPr>
          <w:b/>
          <w:bCs/>
          <w:sz w:val="24"/>
          <w:szCs w:val="24"/>
        </w:rPr>
        <w:t>Telefon- und Faxnummer</w:t>
      </w:r>
      <w:r>
        <w:rPr>
          <w:sz w:val="24"/>
          <w:szCs w:val="24"/>
        </w:rPr>
        <w:t xml:space="preserve"> des </w:t>
      </w:r>
      <w:r>
        <w:rPr>
          <w:b/>
          <w:bCs/>
          <w:sz w:val="24"/>
          <w:szCs w:val="24"/>
        </w:rPr>
        <w:t>Kompetenzzentrums</w:t>
      </w:r>
      <w:r>
        <w:rPr>
          <w:sz w:val="24"/>
          <w:szCs w:val="24"/>
        </w:rPr>
        <w:t xml:space="preserve"> </w:t>
      </w:r>
      <w:r>
        <w:rPr>
          <w:b/>
          <w:bCs/>
          <w:sz w:val="24"/>
          <w:szCs w:val="24"/>
        </w:rPr>
        <w:t>Förderprogramme</w:t>
      </w:r>
      <w:r>
        <w:rPr>
          <w:sz w:val="24"/>
          <w:szCs w:val="24"/>
        </w:rPr>
        <w:t xml:space="preserve"> in Marktredwitz geändert hat. Die neuen Nummern lauten:</w:t>
      </w:r>
    </w:p>
    <w:p w:rsidR="006A0C1D" w:rsidRDefault="006A0C1D" w:rsidP="006A0C1D">
      <w:pPr>
        <w:spacing w:line="276" w:lineRule="auto"/>
        <w:rPr>
          <w:b/>
          <w:bCs/>
          <w:sz w:val="24"/>
          <w:szCs w:val="24"/>
        </w:rPr>
      </w:pPr>
      <w:r>
        <w:rPr>
          <w:b/>
          <w:bCs/>
          <w:sz w:val="24"/>
          <w:szCs w:val="24"/>
        </w:rPr>
        <w:t xml:space="preserve">Tel.-Nr.: 0871/9522-4600 </w:t>
      </w:r>
      <w:r>
        <w:rPr>
          <w:sz w:val="24"/>
          <w:szCs w:val="24"/>
        </w:rPr>
        <w:t>(Vermittlung)</w:t>
      </w:r>
    </w:p>
    <w:p w:rsidR="006A0C1D" w:rsidRDefault="006A0C1D" w:rsidP="006A0C1D">
      <w:pPr>
        <w:spacing w:line="276" w:lineRule="auto"/>
        <w:rPr>
          <w:b/>
          <w:bCs/>
          <w:sz w:val="24"/>
          <w:szCs w:val="24"/>
        </w:rPr>
      </w:pPr>
      <w:r>
        <w:rPr>
          <w:b/>
          <w:bCs/>
          <w:sz w:val="24"/>
          <w:szCs w:val="24"/>
        </w:rPr>
        <w:t>Fax: 0871/9522-4606</w:t>
      </w:r>
    </w:p>
    <w:p w:rsidR="006A0C1D" w:rsidRDefault="006A0C1D" w:rsidP="006A0C1D">
      <w:pPr>
        <w:pStyle w:val="NurText"/>
      </w:pPr>
    </w:p>
    <w:sectPr w:rsidR="006A0C1D" w:rsidSect="006A0C1D">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C1D"/>
    <w:rsid w:val="00031A47"/>
    <w:rsid w:val="006A0C1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A0C1D"/>
    <w:pPr>
      <w:spacing w:after="0" w:line="240" w:lineRule="auto"/>
    </w:pPr>
    <w:rPr>
      <w:rFonts w:ascii="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6A0C1D"/>
    <w:rPr>
      <w:color w:val="0000FF"/>
      <w:u w:val="single"/>
    </w:rPr>
  </w:style>
  <w:style w:type="paragraph" w:styleId="NurText">
    <w:name w:val="Plain Text"/>
    <w:basedOn w:val="Standard"/>
    <w:link w:val="NurTextZchn"/>
    <w:uiPriority w:val="99"/>
    <w:semiHidden/>
    <w:unhideWhenUsed/>
    <w:rsid w:val="006A0C1D"/>
  </w:style>
  <w:style w:type="character" w:customStyle="1" w:styleId="NurTextZchn">
    <w:name w:val="Nur Text Zchn"/>
    <w:basedOn w:val="Absatz-Standardschriftart"/>
    <w:link w:val="NurText"/>
    <w:uiPriority w:val="99"/>
    <w:semiHidden/>
    <w:rsid w:val="006A0C1D"/>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A0C1D"/>
    <w:pPr>
      <w:spacing w:after="0" w:line="240" w:lineRule="auto"/>
    </w:pPr>
    <w:rPr>
      <w:rFonts w:ascii="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6A0C1D"/>
    <w:rPr>
      <w:color w:val="0000FF"/>
      <w:u w:val="single"/>
    </w:rPr>
  </w:style>
  <w:style w:type="paragraph" w:styleId="NurText">
    <w:name w:val="Plain Text"/>
    <w:basedOn w:val="Standard"/>
    <w:link w:val="NurTextZchn"/>
    <w:uiPriority w:val="99"/>
    <w:semiHidden/>
    <w:unhideWhenUsed/>
    <w:rsid w:val="006A0C1D"/>
  </w:style>
  <w:style w:type="character" w:customStyle="1" w:styleId="NurTextZchn">
    <w:name w:val="Nur Text Zchn"/>
    <w:basedOn w:val="Absatz-Standardschriftart"/>
    <w:link w:val="NurText"/>
    <w:uiPriority w:val="99"/>
    <w:semiHidden/>
    <w:rsid w:val="006A0C1D"/>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9198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tmelf.bayern.de/emff"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D4E08EA9</Template>
  <TotalTime>0</TotalTime>
  <Pages>1</Pages>
  <Words>371</Words>
  <Characters>2341</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Landratsamt Ansbach</Company>
  <LinksUpToDate>false</LinksUpToDate>
  <CharactersWithSpaces>2707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herbert.vogel</dc:creator>
  <cp:lastModifiedBy>herbert.vogel</cp:lastModifiedBy>
  <cp:revision>1</cp:revision>
  <dcterms:created xsi:type="dcterms:W3CDTF">2019-10-02T11:58:00Z</dcterms:created>
  <dcterms:modified xsi:type="dcterms:W3CDTF">2019-10-02T12:07:00Z</dcterms:modified>
</cp:coreProperties>
</file>